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F2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仲裁庭组成方式及仲裁员选定书</w:t>
      </w:r>
    </w:p>
    <w:p w14:paraId="0573FE41">
      <w:pPr>
        <w:wordWrap w:val="0"/>
        <w:jc w:val="right"/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eastAsia="仿宋_GB2312" w:cs="Times New Roman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楷体" w:cs="Times New Roman"/>
          <w:sz w:val="32"/>
          <w:szCs w:val="32"/>
        </w:rPr>
        <w:t>仲案字第</w:t>
      </w:r>
      <w:r>
        <w:rPr>
          <w:rFonts w:hint="eastAsia" w:eastAsia="楷体" w:cs="Times New Roman"/>
          <w:sz w:val="32"/>
          <w:szCs w:val="32"/>
          <w:lang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楷体" w:cs="Times New Roman"/>
          <w:sz w:val="32"/>
          <w:szCs w:val="32"/>
        </w:rPr>
        <w:t>号</w:t>
      </w:r>
    </w:p>
    <w:p w14:paraId="0C986F00">
      <w:pPr>
        <w:wordWrap/>
        <w:jc w:val="right"/>
        <w:rPr>
          <w:rFonts w:hint="eastAsia" w:ascii="Times New Roman" w:hAnsi="Times New Roman" w:eastAsia="楷体" w:cs="Times New Roman"/>
          <w:sz w:val="32"/>
          <w:szCs w:val="32"/>
        </w:rPr>
      </w:pPr>
    </w:p>
    <w:tbl>
      <w:tblPr>
        <w:tblStyle w:val="5"/>
        <w:tblW w:w="91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970"/>
        <w:gridCol w:w="3693"/>
      </w:tblGrid>
      <w:tr w14:paraId="25078EEC">
        <w:tblPrEx>
          <w:tblLayout w:type="fixed"/>
        </w:tblPrEx>
        <w:trPr>
          <w:trHeight w:val="1553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3817"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3175</wp:posOffset>
                      </wp:positionV>
                      <wp:extent cx="1568450" cy="973455"/>
                      <wp:effectExtent l="2540" t="3810" r="10160" b="133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42035" y="2934970"/>
                                <a:ext cx="1568450" cy="9734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25pt;height:76.65pt;width:123.5pt;z-index:251659264;mso-width-relative:page;mso-height-relative:page;" filled="f" stroked="t" coordsize="21600,21600" o:gfxdata="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snOI3XAAAACAEAAA8AAAAAAAAA&#10;AQAgAAAAIgAAAGRycy9kb3ducmV2LnhtbFBLAQIUABQAAAAIAIdO4kCgccaq2QEAAHQDAAAOAAAA&#10;AAAAAAEAIAAAACYBAABkcnMvZTJvRG9jLnhtbFBLBQYAAAAABgAGAFkBAABxBQA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 xml:space="preserve">    选定/指定</w:t>
            </w:r>
          </w:p>
          <w:p w14:paraId="558F9DE4">
            <w:pPr>
              <w:spacing w:line="600" w:lineRule="auto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程序/成员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9B45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当事人选定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E70A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委托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本会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主任指定</w:t>
            </w:r>
          </w:p>
        </w:tc>
      </w:tr>
      <w:tr w14:paraId="0F66DF69">
        <w:tblPrEx>
          <w:tblLayout w:type="fixed"/>
        </w:tblPrEx>
        <w:trPr>
          <w:cantSplit/>
          <w:trHeight w:val="1081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FC7D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简易程序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3C4C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6AA3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58530D5">
        <w:tblPrEx>
          <w:tblLayout w:type="fixed"/>
        </w:tblPrEx>
        <w:trPr>
          <w:cantSplit/>
          <w:trHeight w:val="1059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4116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普通程序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B4C9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E486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80F8434">
        <w:tblPrEx>
          <w:tblLayout w:type="fixed"/>
        </w:tblPrEx>
        <w:trPr>
          <w:trHeight w:val="1072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18CC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首席仲裁员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48DA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24C1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F8A7427">
        <w:tblPrEx>
          <w:tblLayout w:type="fixed"/>
        </w:tblPrEx>
        <w:trPr>
          <w:trHeight w:val="1130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9005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仲 裁 员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1B14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FDCC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1633CBE">
        <w:tblPrEx>
          <w:tblLayout w:type="fixed"/>
        </w:tblPrEx>
        <w:trPr>
          <w:trHeight w:val="1232" w:hRule="atLeast"/>
          <w:jc w:val="center"/>
        </w:trPr>
        <w:tc>
          <w:tcPr>
            <w:tcW w:w="9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A776">
            <w:pPr>
              <w:jc w:val="both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</w:rPr>
              <w:t>备注：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选择仲裁庭组成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方式及仲裁员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是仲裁程序必经的重要环节，请阅读背面的须知后再填写。</w:t>
            </w:r>
          </w:p>
        </w:tc>
      </w:tr>
    </w:tbl>
    <w:p w14:paraId="7F8DA17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F6D1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713E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人：                 </w:t>
      </w:r>
    </w:p>
    <w:p w14:paraId="7777D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（签字或盖章）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</w:p>
    <w:p w14:paraId="16FF4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代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人：                 </w:t>
      </w:r>
    </w:p>
    <w:p w14:paraId="1093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日</w:t>
      </w:r>
    </w:p>
    <w:p w14:paraId="3B487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组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</w:rPr>
        <w:t>庭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及仲裁员选定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</w:rPr>
        <w:t>须知</w:t>
      </w:r>
    </w:p>
    <w:p w14:paraId="0360D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一、根据《仲裁黄冈仲裁委员会仲裁规则》第二十八条、第七十八条、第七十九条的规定，案涉</w:t>
      </w:r>
      <w:r>
        <w:rPr>
          <w:rFonts w:hint="eastAsia" w:ascii="Times New Roman" w:hAnsi="Times New Roman" w:eastAsia="仿宋" w:cs="Times New Roman"/>
          <w:sz w:val="32"/>
          <w:szCs w:val="32"/>
        </w:rPr>
        <w:t>争议金额不超过人民币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万元的仲裁案件，适用简易程序，仲裁庭由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名仲裁员组成</w:t>
      </w:r>
      <w:r>
        <w:rPr>
          <w:rFonts w:hint="eastAsia" w:eastAsia="仿宋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</w:rPr>
        <w:t>争议金额在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万元以上，适用普通程序，仲裁庭由</w:t>
      </w: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名仲裁员组成，设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名首席仲裁员。当事人也可共同约定案件适用的程序。</w:t>
      </w:r>
    </w:p>
    <w:p w14:paraId="51A97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sz w:val="32"/>
          <w:szCs w:val="32"/>
        </w:rPr>
        <w:t>当事人各自选定或者各自委托本会主任指定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名仲裁员。有两个或者两个以上的申请人或者被申请人时，申请人或者被申请人应当共同选定或者共同委托本会主任指定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名仲裁员。首席仲裁员由双方当事人共同选定或者共同委托本会主任指定。</w:t>
      </w:r>
    </w:p>
    <w:p w14:paraId="10BF6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" w:cs="Times New Roman"/>
          <w:sz w:val="32"/>
          <w:szCs w:val="32"/>
        </w:rPr>
        <w:t>当事人自收到受理通知或者仲裁通知之日起</w:t>
      </w:r>
      <w:r>
        <w:rPr>
          <w:rFonts w:hint="eastAsia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</w:rPr>
        <w:t>日（</w:t>
      </w:r>
      <w:r>
        <w:rPr>
          <w:rFonts w:hint="eastAsia" w:eastAsia="仿宋" w:cs="Times New Roman"/>
          <w:sz w:val="32"/>
          <w:szCs w:val="32"/>
          <w:lang w:val="en-US" w:eastAsia="zh-CN"/>
        </w:rPr>
        <w:t>普通</w:t>
      </w:r>
      <w:r>
        <w:rPr>
          <w:rFonts w:hint="eastAsia" w:ascii="Times New Roman" w:hAnsi="Times New Roman" w:eastAsia="仿宋" w:cs="Times New Roman"/>
          <w:sz w:val="32"/>
          <w:szCs w:val="32"/>
        </w:rPr>
        <w:t>程序案件为</w:t>
      </w:r>
      <w:r>
        <w:rPr>
          <w:rFonts w:hint="eastAsia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" w:cs="Times New Roman"/>
          <w:sz w:val="32"/>
          <w:szCs w:val="32"/>
        </w:rPr>
        <w:t>日，涉外仲裁案件为</w:t>
      </w:r>
      <w:r>
        <w:rPr>
          <w:rFonts w:hint="eastAsia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日）内没有选定或者共同选定仲裁员、首席仲裁员的，由本会主任指定。</w:t>
      </w:r>
    </w:p>
    <w:p w14:paraId="4DE63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" w:cs="Times New Roman"/>
          <w:sz w:val="32"/>
          <w:szCs w:val="32"/>
        </w:rPr>
        <w:t>仲裁庭组成方式及仲裁员选定书的填写：当事人选择程序，可在程序选定栏中打“√”。当事人选择仲裁员，可在仲裁员选定栏中填上仲裁员的名字，委托本会主任指定仲裁员的，在仲裁委员会主任指定栏中打“√”。</w:t>
      </w:r>
    </w:p>
    <w:p w14:paraId="5F6C4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" w:cs="Times New Roman"/>
          <w:sz w:val="32"/>
          <w:szCs w:val="32"/>
        </w:rPr>
        <w:t>仲裁庭组成方式及仲裁员选定书必须由当事人或者授权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委托人</w:t>
      </w:r>
      <w:r>
        <w:rPr>
          <w:rFonts w:hint="eastAsia" w:ascii="Times New Roman" w:hAnsi="Times New Roman" w:eastAsia="仿宋" w:cs="Times New Roman"/>
          <w:sz w:val="32"/>
          <w:szCs w:val="32"/>
        </w:rPr>
        <w:t>签字或盖章确认。</w:t>
      </w:r>
    </w:p>
    <w:p w14:paraId="6ACB9351">
      <w:pPr>
        <w:rPr>
          <w:rFonts w:hint="default" w:ascii="Times New Roman" w:hAnsi="Times New Roman" w:cs="Times New Roman"/>
          <w:lang w:val="en-US" w:eastAsia="zh-CN"/>
        </w:rPr>
      </w:pPr>
    </w:p>
    <w:p w14:paraId="2D663289">
      <w:pPr>
        <w:rPr>
          <w:rFonts w:hint="default"/>
          <w:lang w:val="en-US" w:eastAsia="zh-CN"/>
        </w:rPr>
      </w:pPr>
    </w:p>
    <w:p w14:paraId="131373E2">
      <w:pPr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14" w:right="1474" w:bottom="1701" w:left="1587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经典美黑简">
    <w:altName w:val="黑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152C8">
    <w:pPr>
      <w:pStyle w:val="2"/>
      <w:tabs>
        <w:tab w:val="right" w:pos="8312"/>
        <w:tab w:val="clear" w:pos="8306"/>
      </w:tabs>
      <w:rPr>
        <w:rFonts w:hint="default" w:ascii="Times New Roman" w:hAnsi="Times New Roman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                                                                            </w:t>
    </w:r>
  </w:p>
  <w:p w14:paraId="70E7731B">
    <w:pPr>
      <w:pStyle w:val="2"/>
      <w:tabs>
        <w:tab w:val="right" w:pos="8312"/>
        <w:tab w:val="clear" w:pos="8306"/>
      </w:tabs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eastAsia="zh-C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5121275</wp:posOffset>
          </wp:positionH>
          <wp:positionV relativeFrom="paragraph">
            <wp:posOffset>6350</wp:posOffset>
          </wp:positionV>
          <wp:extent cx="419100" cy="438785"/>
          <wp:effectExtent l="0" t="0" r="0" b="18415"/>
          <wp:wrapTopAndBottom/>
          <wp:docPr id="9" name="图片 2" descr="黄冈仲裁委员会公众号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黄冈仲裁委员会公众号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387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5AC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45AC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黄冈仲裁委员会地址：黄冈市黄州区明珠大道88号</w:t>
    </w:r>
    <w:r>
      <w:rPr>
        <w:rFonts w:hint="eastAsia" w:ascii="Times New Roman" w:hAnsi="Times New Roman"/>
        <w:lang w:val="en-US" w:eastAsia="zh-CN"/>
      </w:rPr>
      <w:tab/>
    </w:r>
  </w:p>
  <w:p w14:paraId="7A8A4337">
    <w:pPr>
      <w:pStyle w:val="2"/>
      <w:tabs>
        <w:tab w:val="right" w:pos="8312"/>
        <w:tab w:val="clear" w:pos="8306"/>
      </w:tabs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eastAsia="zh-CN"/>
      </w:rPr>
      <w:t>咨询电话：</w:t>
    </w:r>
    <w:r>
      <w:rPr>
        <w:rFonts w:hint="eastAsia" w:ascii="Times New Roman" w:hAnsi="Times New Roman"/>
        <w:lang w:val="en-US" w:eastAsia="zh-CN"/>
      </w:rPr>
      <w:t>0713</w:t>
    </w:r>
    <w:r>
      <w:rPr>
        <w:rFonts w:hint="eastAsia" w:ascii="Times New Roman" w:hAnsi="Times New Roman"/>
        <w:lang w:eastAsia="zh-CN"/>
      </w:rPr>
      <w:t>-</w:t>
    </w:r>
    <w:r>
      <w:rPr>
        <w:rFonts w:hint="eastAsia" w:ascii="Times New Roman" w:hAnsi="Times New Roman"/>
        <w:lang w:val="en-US" w:eastAsia="zh-CN"/>
      </w:rPr>
      <w:t>8358260</w:t>
    </w:r>
    <w:r>
      <w:rPr>
        <w:rFonts w:hint="eastAsia" w:ascii="Times New Roman" w:hAnsi="Times New Roman"/>
        <w:lang w:eastAsia="zh-CN"/>
      </w:rPr>
      <w:t xml:space="preserve"> </w:t>
    </w:r>
    <w:r>
      <w:rPr>
        <w:rFonts w:hint="eastAsia" w:ascii="Times New Roman" w:hAnsi="Times New Roman"/>
        <w:lang w:val="en-US" w:eastAsia="zh-CN"/>
      </w:rPr>
      <w:t xml:space="preserve"> </w:t>
    </w:r>
    <w:r>
      <w:rPr>
        <w:rFonts w:hint="eastAsia" w:ascii="Times New Roman" w:hAnsi="Times New Roman"/>
        <w:lang w:eastAsia="zh-CN"/>
      </w:rPr>
      <w:t>传真：</w:t>
    </w:r>
    <w:r>
      <w:rPr>
        <w:rFonts w:hint="eastAsia" w:ascii="Times New Roman" w:hAnsi="Times New Roman"/>
        <w:lang w:val="en-US" w:eastAsia="zh-CN"/>
      </w:rPr>
      <w:t>0713</w:t>
    </w:r>
    <w:r>
      <w:rPr>
        <w:rFonts w:hint="eastAsia" w:ascii="Times New Roman" w:hAnsi="Times New Roman"/>
        <w:lang w:eastAsia="zh-CN"/>
      </w:rPr>
      <w:t>-</w:t>
    </w:r>
    <w:r>
      <w:rPr>
        <w:rFonts w:hint="eastAsia" w:ascii="Times New Roman" w:hAnsi="Times New Roman"/>
        <w:lang w:val="en-US" w:eastAsia="zh-CN"/>
      </w:rPr>
      <w:t xml:space="preserve">8358260  </w:t>
    </w:r>
    <w:r>
      <w:rPr>
        <w:rFonts w:hint="eastAsia" w:ascii="Times New Roman" w:hAnsi="Times New Roman"/>
        <w:lang w:eastAsia="zh-CN"/>
      </w:rPr>
      <w:t xml:space="preserve"> 邮编：</w:t>
    </w:r>
    <w:r>
      <w:rPr>
        <w:rFonts w:hint="eastAsia" w:ascii="Times New Roman" w:hAnsi="Times New Roman"/>
        <w:lang w:val="en-US" w:eastAsia="zh-CN"/>
      </w:rPr>
      <w:t>438000</w:t>
    </w:r>
  </w:p>
  <w:p w14:paraId="3431F764">
    <w:pPr>
      <w:pStyle w:val="2"/>
      <w:tabs>
        <w:tab w:val="right" w:pos="8312"/>
        <w:tab w:val="clear" w:pos="8306"/>
      </w:tabs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val="en-US" w:eastAsia="zh-CN"/>
      </w:rPr>
      <w:t>官方</w:t>
    </w:r>
    <w:r>
      <w:rPr>
        <w:rFonts w:hint="eastAsia" w:ascii="Times New Roman" w:hAnsi="Times New Roman"/>
        <w:lang w:eastAsia="zh-CN"/>
      </w:rPr>
      <w:t>网址：</w:t>
    </w:r>
    <w:r>
      <w:rPr>
        <w:rFonts w:hint="eastAsia" w:ascii="Times New Roman" w:hAnsi="Times New Roman"/>
        <w:lang w:eastAsia="zh-CN"/>
      </w:rPr>
      <w:fldChar w:fldCharType="begin"/>
    </w:r>
    <w:r>
      <w:rPr>
        <w:rFonts w:hint="eastAsia" w:ascii="Times New Roman" w:hAnsi="Times New Roman"/>
        <w:lang w:eastAsia="zh-CN"/>
      </w:rPr>
      <w:instrText xml:space="preserve"> HYPERLINK "http://www.ccarb.org/" </w:instrText>
    </w:r>
    <w:r>
      <w:rPr>
        <w:rFonts w:hint="eastAsia" w:ascii="Times New Roman" w:hAnsi="Times New Roman"/>
        <w:lang w:eastAsia="zh-CN"/>
      </w:rPr>
      <w:fldChar w:fldCharType="separate"/>
    </w:r>
    <w:r>
      <w:rPr>
        <w:rFonts w:hint="eastAsia" w:ascii="Times New Roman" w:hAnsi="Times New Roman"/>
        <w:lang w:eastAsia="zh-CN"/>
      </w:rPr>
      <w:t xml:space="preserve">http://www.hgac.org.cn </w:t>
    </w:r>
    <w:r>
      <w:rPr>
        <w:rFonts w:hint="eastAsia" w:ascii="Times New Roman" w:hAnsi="Times New Roman"/>
        <w:lang w:eastAsia="zh-CN"/>
      </w:rPr>
      <w:fldChar w:fldCharType="end"/>
    </w:r>
    <w:r>
      <w:rPr>
        <w:rFonts w:hint="eastAsia" w:ascii="Times New Roman" w:hAnsi="Times New Roman"/>
        <w:lang w:val="en-US" w:eastAsia="zh-CN"/>
      </w:rPr>
      <w:t>电子信</w:t>
    </w:r>
    <w:r>
      <w:rPr>
        <w:rFonts w:hint="eastAsia" w:ascii="Times New Roman" w:hAnsi="Times New Roman"/>
        <w:lang w:eastAsia="zh-CN"/>
      </w:rPr>
      <w:t>箱：</w:t>
    </w:r>
    <w:r>
      <w:rPr>
        <w:rFonts w:hint="eastAsia" w:ascii="Times New Roman" w:hAnsi="Times New Roman"/>
        <w:lang w:val="en-US" w:eastAsia="zh-CN"/>
      </w:rPr>
      <w:t>hgzcwyh@163.com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4C3BD">
    <w:pPr>
      <w:pStyle w:val="2"/>
      <w:rPr>
        <w:rFonts w:hint="default" w:ascii="Times New Roman" w:hAnsi="Times New Roman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                                                                         </w:t>
    </w:r>
  </w:p>
  <w:p w14:paraId="5295FED2">
    <w:pPr>
      <w:pStyle w:val="2"/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5121275</wp:posOffset>
          </wp:positionH>
          <wp:positionV relativeFrom="paragraph">
            <wp:posOffset>6350</wp:posOffset>
          </wp:positionV>
          <wp:extent cx="419100" cy="438785"/>
          <wp:effectExtent l="0" t="0" r="0" b="18415"/>
          <wp:wrapTopAndBottom/>
          <wp:docPr id="4" name="图片 2" descr="黄冈仲裁委员会公众号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黄冈仲裁委员会公众号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387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418A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C418A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黄冈仲裁委员会地址：黄冈市黄州区明珠大道88号</w:t>
    </w:r>
  </w:p>
  <w:p w14:paraId="2A1C4210">
    <w:pPr>
      <w:pStyle w:val="2"/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eastAsia="zh-CN"/>
      </w:rPr>
      <w:t>咨询电话：</w:t>
    </w:r>
    <w:r>
      <w:rPr>
        <w:rFonts w:hint="eastAsia" w:ascii="Times New Roman" w:hAnsi="Times New Roman"/>
        <w:lang w:val="en-US" w:eastAsia="zh-CN"/>
      </w:rPr>
      <w:t>0713</w:t>
    </w:r>
    <w:r>
      <w:rPr>
        <w:rFonts w:hint="eastAsia" w:ascii="Times New Roman" w:hAnsi="Times New Roman"/>
        <w:lang w:eastAsia="zh-CN"/>
      </w:rPr>
      <w:t>-</w:t>
    </w:r>
    <w:r>
      <w:rPr>
        <w:rFonts w:hint="eastAsia" w:ascii="Times New Roman" w:hAnsi="Times New Roman"/>
        <w:lang w:val="en-US" w:eastAsia="zh-CN"/>
      </w:rPr>
      <w:t>8358260</w:t>
    </w:r>
    <w:r>
      <w:rPr>
        <w:rFonts w:hint="eastAsia" w:ascii="Times New Roman" w:hAnsi="Times New Roman"/>
        <w:lang w:eastAsia="zh-CN"/>
      </w:rPr>
      <w:t xml:space="preserve"> </w:t>
    </w:r>
    <w:r>
      <w:rPr>
        <w:rFonts w:hint="eastAsia" w:ascii="Times New Roman" w:hAnsi="Times New Roman"/>
        <w:lang w:val="en-US" w:eastAsia="zh-CN"/>
      </w:rPr>
      <w:t xml:space="preserve"> </w:t>
    </w:r>
    <w:r>
      <w:rPr>
        <w:rFonts w:hint="eastAsia" w:ascii="Times New Roman" w:hAnsi="Times New Roman"/>
        <w:lang w:eastAsia="zh-CN"/>
      </w:rPr>
      <w:t>传真：</w:t>
    </w:r>
    <w:r>
      <w:rPr>
        <w:rFonts w:hint="eastAsia" w:ascii="Times New Roman" w:hAnsi="Times New Roman"/>
        <w:lang w:val="en-US" w:eastAsia="zh-CN"/>
      </w:rPr>
      <w:t>0713</w:t>
    </w:r>
    <w:r>
      <w:rPr>
        <w:rFonts w:hint="eastAsia" w:ascii="Times New Roman" w:hAnsi="Times New Roman"/>
        <w:lang w:eastAsia="zh-CN"/>
      </w:rPr>
      <w:t>-</w:t>
    </w:r>
    <w:r>
      <w:rPr>
        <w:rFonts w:hint="eastAsia" w:ascii="Times New Roman" w:hAnsi="Times New Roman"/>
        <w:lang w:val="en-US" w:eastAsia="zh-CN"/>
      </w:rPr>
      <w:t xml:space="preserve">8358260  </w:t>
    </w:r>
    <w:r>
      <w:rPr>
        <w:rFonts w:hint="eastAsia" w:ascii="Times New Roman" w:hAnsi="Times New Roman"/>
        <w:lang w:eastAsia="zh-CN"/>
      </w:rPr>
      <w:t xml:space="preserve"> 邮编：</w:t>
    </w:r>
    <w:r>
      <w:rPr>
        <w:rFonts w:hint="eastAsia" w:ascii="Times New Roman" w:hAnsi="Times New Roman"/>
        <w:lang w:val="en-US" w:eastAsia="zh-CN"/>
      </w:rPr>
      <w:t>438000</w:t>
    </w:r>
  </w:p>
  <w:p w14:paraId="4F0DF521">
    <w:pPr>
      <w:pStyle w:val="2"/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val="en-US" w:eastAsia="zh-CN"/>
      </w:rPr>
      <w:t>官方</w:t>
    </w:r>
    <w:r>
      <w:rPr>
        <w:rFonts w:hint="eastAsia" w:ascii="Times New Roman" w:hAnsi="Times New Roman"/>
        <w:lang w:eastAsia="zh-CN"/>
      </w:rPr>
      <w:t>网址：</w:t>
    </w:r>
    <w:r>
      <w:rPr>
        <w:rFonts w:hint="eastAsia" w:ascii="Times New Roman" w:hAnsi="Times New Roman"/>
        <w:lang w:eastAsia="zh-CN"/>
      </w:rPr>
      <w:fldChar w:fldCharType="begin"/>
    </w:r>
    <w:r>
      <w:rPr>
        <w:rFonts w:hint="eastAsia" w:ascii="Times New Roman" w:hAnsi="Times New Roman"/>
        <w:lang w:eastAsia="zh-CN"/>
      </w:rPr>
      <w:instrText xml:space="preserve"> HYPERLINK "http://www.ccarb.org/" </w:instrText>
    </w:r>
    <w:r>
      <w:rPr>
        <w:rFonts w:hint="eastAsia" w:ascii="Times New Roman" w:hAnsi="Times New Roman"/>
        <w:lang w:eastAsia="zh-CN"/>
      </w:rPr>
      <w:fldChar w:fldCharType="separate"/>
    </w:r>
    <w:r>
      <w:rPr>
        <w:rFonts w:hint="eastAsia" w:ascii="Times New Roman" w:hAnsi="Times New Roman"/>
        <w:lang w:eastAsia="zh-CN"/>
      </w:rPr>
      <w:t xml:space="preserve">http://www.hgac.org.cn </w:t>
    </w:r>
    <w:r>
      <w:rPr>
        <w:rFonts w:hint="eastAsia" w:ascii="Times New Roman" w:hAnsi="Times New Roman"/>
        <w:lang w:eastAsia="zh-CN"/>
      </w:rPr>
      <w:fldChar w:fldCharType="end"/>
    </w:r>
    <w:r>
      <w:rPr>
        <w:rFonts w:hint="eastAsia" w:ascii="Times New Roman" w:hAnsi="Times New Roman"/>
        <w:lang w:val="en-US" w:eastAsia="zh-CN"/>
      </w:rPr>
      <w:t>电子信</w:t>
    </w:r>
    <w:r>
      <w:rPr>
        <w:rFonts w:hint="eastAsia" w:ascii="Times New Roman" w:hAnsi="Times New Roman"/>
        <w:lang w:eastAsia="zh-CN"/>
      </w:rPr>
      <w:t>箱：</w:t>
    </w:r>
    <w:r>
      <w:rPr>
        <w:rFonts w:hint="eastAsia" w:ascii="Times New Roman" w:hAnsi="Times New Roman"/>
        <w:lang w:val="en-US" w:eastAsia="zh-CN"/>
      </w:rPr>
      <w:t>hgzcwyh@163.com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D4C80">
    <w:pPr>
      <w:pStyle w:val="3"/>
      <w:pBdr>
        <w:bottom w:val="none" w:color="auto" w:sz="0" w:space="0"/>
      </w:pBdr>
      <w:jc w:val="both"/>
      <w:rPr>
        <w:rFonts w:hint="eastAsia" w:eastAsia="经典美黑简"/>
        <w:sz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-251460</wp:posOffset>
          </wp:positionV>
          <wp:extent cx="778510" cy="739775"/>
          <wp:effectExtent l="0" t="0" r="2540" b="3175"/>
          <wp:wrapNone/>
          <wp:docPr id="1" name="图片 1" descr="C:\Users\lenovo\Desktop\2466931d015e8cba25d3f6c80fac660.png2466931d015e8cba25d3f6c80fac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enovo\Desktop\2466931d015e8cba25d3f6c80fac660.png2466931d015e8cba25d3f6c80fac660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5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经典美黑简"/>
        <w:sz w:val="32"/>
        <w:lang w:val="en-US" w:eastAsia="zh-CN"/>
      </w:rPr>
      <w:t xml:space="preserve">          </w:t>
    </w:r>
    <w:r>
      <w:rPr>
        <w:rFonts w:hint="eastAsia" w:eastAsia="经典美黑简"/>
        <w:sz w:val="32"/>
        <w:lang w:eastAsia="zh-CN"/>
      </w:rPr>
      <w:t>黄冈</w:t>
    </w:r>
    <w:r>
      <w:rPr>
        <w:rFonts w:hint="eastAsia" w:eastAsia="经典美黑简"/>
        <w:sz w:val="32"/>
      </w:rPr>
      <w:t>仲裁委员会</w:t>
    </w:r>
  </w:p>
  <w:p w14:paraId="241A4579">
    <w:pPr>
      <w:pStyle w:val="3"/>
      <w:pBdr>
        <w:bottom w:val="none" w:color="auto" w:sz="0" w:space="0"/>
      </w:pBdr>
      <w:ind w:firstLine="1265" w:firstLineChars="600"/>
      <w:jc w:val="both"/>
      <w:rPr>
        <w:rFonts w:hint="eastAsia" w:eastAsia="经典美黑简"/>
        <w:b/>
        <w:bCs/>
        <w:sz w:val="21"/>
      </w:rPr>
    </w:pPr>
    <w:r>
      <w:rPr>
        <w:rFonts w:hint="eastAsia" w:eastAsia="经典美黑简"/>
        <w:b/>
        <w:bCs/>
        <w:sz w:val="21"/>
        <w:lang w:val="en-US" w:eastAsia="zh-CN"/>
      </w:rPr>
      <w:t>Huanggang</w:t>
    </w:r>
    <w:r>
      <w:rPr>
        <w:rFonts w:hint="eastAsia" w:eastAsia="经典美黑简"/>
        <w:b/>
        <w:bCs/>
        <w:sz w:val="21"/>
      </w:rPr>
      <w:t xml:space="preserve"> Arbitration Commission</w:t>
    </w:r>
  </w:p>
  <w:p w14:paraId="610B48E7">
    <w:pPr>
      <w:pStyle w:val="3"/>
      <w:keepNext w:val="0"/>
      <w:keepLines w:val="0"/>
      <w:pageBreakBefore w:val="0"/>
      <w:widowControl w:val="0"/>
      <w:pBdr>
        <w:bottom w:val="thickThinSmallGap" w:color="auto" w:sz="12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20" w:lineRule="exact"/>
      <w:ind w:left="0" w:leftChars="0" w:right="0" w:rightChars="0" w:firstLine="1054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</w:p>
  <w:p w14:paraId="41ED23A0">
    <w:pPr>
      <w:pStyle w:val="3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4" w:lineRule="exact"/>
      <w:ind w:left="0" w:leftChars="0" w:right="0" w:rightChars="0" w:firstLine="1054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</w:p>
  <w:p w14:paraId="14EF1D83"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F1502">
    <w:pPr>
      <w:pStyle w:val="3"/>
      <w:pBdr>
        <w:bottom w:val="none" w:color="auto" w:sz="0" w:space="0"/>
      </w:pBdr>
      <w:jc w:val="both"/>
      <w:rPr>
        <w:rFonts w:hint="eastAsia" w:eastAsia="经典美黑简"/>
        <w:sz w:val="32"/>
      </w:rPr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-247650</wp:posOffset>
          </wp:positionV>
          <wp:extent cx="778510" cy="739775"/>
          <wp:effectExtent l="0" t="0" r="2540" b="3175"/>
          <wp:wrapNone/>
          <wp:docPr id="2" name="图片 2" descr="C:\Users\lenovo\Desktop\2466931d015e8cba25d3f6c80fac660.png2466931d015e8cba25d3f6c80fac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enovo\Desktop\2466931d015e8cba25d3f6c80fac660.png2466931d015e8cba25d3f6c80fac660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5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经典美黑简"/>
        <w:sz w:val="32"/>
        <w:lang w:val="en-US" w:eastAsia="zh-CN"/>
      </w:rPr>
      <w:t xml:space="preserve">          </w:t>
    </w:r>
    <w:r>
      <w:rPr>
        <w:rFonts w:hint="eastAsia" w:eastAsia="经典美黑简"/>
        <w:sz w:val="32"/>
        <w:lang w:eastAsia="zh-CN"/>
      </w:rPr>
      <w:t>黄冈</w:t>
    </w:r>
    <w:r>
      <w:rPr>
        <w:rFonts w:hint="eastAsia" w:eastAsia="经典美黑简"/>
        <w:sz w:val="32"/>
      </w:rPr>
      <w:t>仲裁委员会</w:t>
    </w:r>
  </w:p>
  <w:p w14:paraId="387ED535">
    <w:pPr>
      <w:pStyle w:val="3"/>
      <w:pBdr>
        <w:bottom w:val="none" w:color="auto" w:sz="0" w:space="0"/>
      </w:pBdr>
      <w:ind w:firstLine="1265" w:firstLineChars="600"/>
      <w:jc w:val="both"/>
      <w:rPr>
        <w:rFonts w:hint="eastAsia" w:eastAsia="经典美黑简"/>
        <w:b/>
        <w:bCs/>
        <w:sz w:val="21"/>
      </w:rPr>
    </w:pPr>
    <w:r>
      <w:rPr>
        <w:rFonts w:hint="eastAsia" w:eastAsia="经典美黑简"/>
        <w:b/>
        <w:bCs/>
        <w:sz w:val="21"/>
        <w:lang w:val="en-US" w:eastAsia="zh-CN"/>
      </w:rPr>
      <w:t>Huanggang</w:t>
    </w:r>
    <w:r>
      <w:rPr>
        <w:rFonts w:hint="eastAsia" w:eastAsia="经典美黑简"/>
        <w:b/>
        <w:bCs/>
        <w:sz w:val="21"/>
      </w:rPr>
      <w:t xml:space="preserve"> Arbitration Commission</w:t>
    </w:r>
  </w:p>
  <w:p w14:paraId="42DCCE20">
    <w:pPr>
      <w:pStyle w:val="3"/>
      <w:keepNext w:val="0"/>
      <w:keepLines w:val="0"/>
      <w:pageBreakBefore w:val="0"/>
      <w:widowControl w:val="0"/>
      <w:pBdr>
        <w:bottom w:val="thickThinSmallGap" w:color="auto" w:sz="12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20" w:lineRule="exact"/>
      <w:ind w:left="0" w:leftChars="0" w:right="0" w:rightChars="0" w:firstLine="1054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</w:p>
  <w:p w14:paraId="1B5AC55B">
    <w:pPr>
      <w:pStyle w:val="3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4" w:lineRule="exact"/>
      <w:ind w:left="0" w:leftChars="0" w:right="0" w:rightChars="0" w:firstLine="1054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592</Characters>
  <Lines>0</Lines>
  <Paragraphs>0</Paragraphs>
  <ScaleCrop>false</ScaleCrop>
  <LinksUpToDate>false</LinksUpToDate>
  <CharactersWithSpaces>687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2021-11-23T10:18:00Z</dcterms:created>
  <dc:creator>lenovo</dc:creator>
  <cp:lastModifiedBy>iPhone</cp:lastModifiedBy>
  <dcterms:modified xsi:type="dcterms:W3CDTF">2025-09-12T19:29:26Z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ICV">
    <vt:lpwstr>540A349F8F484A0BA251E44C66BC192E</vt:lpwstr>
  </property>
</Properties>
</file>